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053" w14:textId="34115428" w:rsidR="00730A20" w:rsidRPr="00114150" w:rsidRDefault="00E94FBB" w:rsidP="00936ADF">
      <w:pPr>
        <w:pStyle w:val="Frontpageheading"/>
        <w:spacing w:before="120" w:after="120" w:line="360" w:lineRule="auto"/>
        <w:rPr>
          <w:sz w:val="96"/>
        </w:rPr>
      </w:pPr>
      <w:r>
        <w:rPr>
          <w:b w:val="0"/>
          <w:sz w:val="48"/>
        </w:rPr>
        <w:t xml:space="preserve">Case Study: </w:t>
      </w:r>
      <w:r w:rsidR="004857B4">
        <w:rPr>
          <w:b w:val="0"/>
          <w:sz w:val="48"/>
        </w:rPr>
        <w:t xml:space="preserve">Melatonin and Sleep Outcomes </w:t>
      </w:r>
      <w:r w:rsidR="005D6307">
        <w:rPr>
          <w:b w:val="0"/>
          <w:sz w:val="48"/>
        </w:rPr>
        <w:t>in Paediatric High Dependency and Intensive Care Units</w:t>
      </w:r>
    </w:p>
    <w:p w14:paraId="08AE2787" w14:textId="12FB8A50" w:rsidR="003C2518" w:rsidRPr="003C2518" w:rsidRDefault="00695327" w:rsidP="00936ADF">
      <w:pPr>
        <w:pStyle w:val="Heading3"/>
        <w:spacing w:before="120" w:after="120" w:line="360" w:lineRule="auto"/>
      </w:pPr>
      <w:r w:rsidRPr="00033377">
        <w:t>Date:</w:t>
      </w:r>
      <w:r>
        <w:t xml:space="preserve"> </w:t>
      </w:r>
      <w:r w:rsidR="005D6307">
        <w:t>31/01/2024</w:t>
      </w:r>
    </w:p>
    <w:p w14:paraId="1C2F2270" w14:textId="04818216" w:rsidR="00695327" w:rsidRPr="00033377" w:rsidRDefault="00695327" w:rsidP="00936ADF">
      <w:pPr>
        <w:pStyle w:val="Heading3"/>
        <w:spacing w:before="120" w:after="120" w:line="360" w:lineRule="auto"/>
      </w:pPr>
      <w:r>
        <w:t>Author</w:t>
      </w:r>
      <w:r w:rsidR="00936ADF">
        <w:t>(s)</w:t>
      </w:r>
      <w:r w:rsidRPr="00033377">
        <w:t>:</w:t>
      </w:r>
      <w:r w:rsidR="00734E95">
        <w:t xml:space="preserve"> </w:t>
      </w:r>
      <w:r w:rsidR="00E94FBB">
        <w:t>Lauren Page</w:t>
      </w:r>
    </w:p>
    <w:p w14:paraId="5748F119" w14:textId="77777777" w:rsidR="00695327" w:rsidRPr="0014737E" w:rsidRDefault="00695327" w:rsidP="00936ADF">
      <w:pPr>
        <w:pBdr>
          <w:bottom w:val="single" w:sz="12" w:space="0" w:color="auto"/>
        </w:pBdr>
        <w:spacing w:before="120" w:after="120" w:line="360" w:lineRule="auto"/>
        <w:jc w:val="both"/>
        <w:rPr>
          <w:rFonts w:cs="Arial"/>
          <w:b/>
        </w:rPr>
      </w:pPr>
    </w:p>
    <w:p w14:paraId="24563C70" w14:textId="77777777" w:rsidR="00695327" w:rsidRPr="00120A5B" w:rsidRDefault="00782F27" w:rsidP="00936ADF">
      <w:pPr>
        <w:pStyle w:val="Heading2"/>
        <w:spacing w:before="120" w:after="120" w:line="360" w:lineRule="auto"/>
        <w:rPr>
          <w:sz w:val="28"/>
          <w:szCs w:val="28"/>
        </w:rPr>
      </w:pPr>
      <w:bookmarkStart w:id="0" w:name="_Introduction"/>
      <w:bookmarkEnd w:id="0"/>
      <w:r w:rsidRPr="00120A5B">
        <w:rPr>
          <w:sz w:val="28"/>
          <w:szCs w:val="28"/>
        </w:rPr>
        <w:t>Introduction</w:t>
      </w:r>
    </w:p>
    <w:p w14:paraId="11A96409" w14:textId="5A76A923" w:rsidR="00237932" w:rsidRPr="00237932" w:rsidRDefault="00E94FBB" w:rsidP="00936ADF">
      <w:pPr>
        <w:spacing w:before="120" w:after="120" w:line="360" w:lineRule="auto"/>
        <w:jc w:val="both"/>
        <w:rPr>
          <w:rFonts w:ascii="Arial" w:hAnsi="Arial" w:cs="Arial"/>
          <w:b/>
          <w:bCs/>
          <w:szCs w:val="24"/>
        </w:rPr>
      </w:pPr>
      <w:r w:rsidRPr="00237932">
        <w:rPr>
          <w:rFonts w:cs="Arial"/>
        </w:rPr>
        <w:t xml:space="preserve">This case study follows the 5-step process for accessing and using evidence in response to a request from </w:t>
      </w:r>
      <w:r w:rsidR="005D6307" w:rsidRPr="00237932">
        <w:rPr>
          <w:rFonts w:cs="Arial"/>
        </w:rPr>
        <w:t xml:space="preserve">the Joint Formulary Group (JFG) in the Bristol, North Somerset, and South Gloucestershire Integrated Care System (BNSSG ICS). </w:t>
      </w:r>
      <w:r w:rsidR="008861E7">
        <w:rPr>
          <w:rFonts w:cs="Arial"/>
        </w:rPr>
        <w:t>A</w:t>
      </w:r>
      <w:r w:rsidR="00237932">
        <w:rPr>
          <w:rFonts w:cs="Arial"/>
        </w:rPr>
        <w:t xml:space="preserve"> search </w:t>
      </w:r>
      <w:r w:rsidR="008861E7">
        <w:rPr>
          <w:rFonts w:cs="Arial"/>
        </w:rPr>
        <w:t xml:space="preserve">was conducted </w:t>
      </w:r>
      <w:r w:rsidR="00237932">
        <w:rPr>
          <w:rFonts w:cs="Arial"/>
        </w:rPr>
        <w:t xml:space="preserve">to find evidence on </w:t>
      </w:r>
      <w:r w:rsidR="00237932">
        <w:rPr>
          <w:rFonts w:ascii="Arial" w:hAnsi="Arial" w:cs="Arial"/>
          <w:szCs w:val="24"/>
        </w:rPr>
        <w:t>m</w:t>
      </w:r>
      <w:r w:rsidR="00237932" w:rsidRPr="00237932">
        <w:rPr>
          <w:rFonts w:ascii="Arial" w:hAnsi="Arial" w:cs="Arial"/>
          <w:szCs w:val="24"/>
        </w:rPr>
        <w:t xml:space="preserve">elatonin </w:t>
      </w:r>
      <w:r w:rsidR="00237932">
        <w:rPr>
          <w:rFonts w:ascii="Arial" w:hAnsi="Arial" w:cs="Arial"/>
          <w:szCs w:val="24"/>
        </w:rPr>
        <w:t>and sleep outcomes</w:t>
      </w:r>
      <w:r w:rsidR="00237932" w:rsidRPr="00237932">
        <w:rPr>
          <w:rFonts w:ascii="Arial" w:hAnsi="Arial" w:cs="Arial"/>
          <w:szCs w:val="24"/>
        </w:rPr>
        <w:t xml:space="preserve"> in children on a Paediatric Intensive Care Unit (PICU) or Paediatric High Dependency Unit (PHDU) when sleep hygiene measures have failed</w:t>
      </w:r>
      <w:r w:rsidR="00237932">
        <w:rPr>
          <w:rFonts w:ascii="Arial" w:hAnsi="Arial" w:cs="Arial"/>
          <w:szCs w:val="24"/>
        </w:rPr>
        <w:t>.</w:t>
      </w:r>
    </w:p>
    <w:p w14:paraId="5A89DD87" w14:textId="4A594E1D" w:rsidR="00E94FBB" w:rsidRPr="005D6307" w:rsidRDefault="00E94FBB" w:rsidP="009874F9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5D6307">
        <w:rPr>
          <w:sz w:val="28"/>
          <w:szCs w:val="28"/>
        </w:rPr>
        <w:t>Identify</w:t>
      </w:r>
    </w:p>
    <w:p w14:paraId="74801D4B" w14:textId="2A2D74DC" w:rsidR="00E94FBB" w:rsidRDefault="00E94FBB" w:rsidP="005207FE">
      <w:pPr>
        <w:spacing w:before="120" w:after="120" w:line="360" w:lineRule="auto"/>
        <w:rPr>
          <w:szCs w:val="24"/>
        </w:rPr>
      </w:pPr>
      <w:r w:rsidRPr="00E94FBB">
        <w:rPr>
          <w:szCs w:val="24"/>
        </w:rPr>
        <w:t xml:space="preserve">Using PICO, the scope of the evidence search was </w:t>
      </w:r>
      <w:r>
        <w:rPr>
          <w:szCs w:val="24"/>
        </w:rPr>
        <w:t>defined as:</w:t>
      </w:r>
    </w:p>
    <w:p w14:paraId="5D5FED0F" w14:textId="77777777" w:rsidR="005D6307" w:rsidRPr="005D6307" w:rsidRDefault="005D6307" w:rsidP="005D6307">
      <w:pPr>
        <w:spacing w:before="120" w:after="120" w:line="360" w:lineRule="auto"/>
        <w:jc w:val="both"/>
        <w:rPr>
          <w:rFonts w:cs="Arial"/>
        </w:rPr>
      </w:pPr>
      <w:r w:rsidRPr="005D6307">
        <w:rPr>
          <w:rFonts w:cs="Arial"/>
          <w:b/>
        </w:rPr>
        <w:t>Population</w:t>
      </w:r>
      <w:r w:rsidRPr="005D6307">
        <w:rPr>
          <w:rFonts w:cs="Arial"/>
        </w:rPr>
        <w:t>: Children in HDU and PICU</w:t>
      </w:r>
    </w:p>
    <w:p w14:paraId="44164BFD" w14:textId="77777777" w:rsidR="005D6307" w:rsidRPr="005D6307" w:rsidRDefault="005D6307" w:rsidP="005D6307">
      <w:pPr>
        <w:spacing w:before="120" w:after="120" w:line="360" w:lineRule="auto"/>
        <w:jc w:val="both"/>
        <w:rPr>
          <w:rFonts w:cs="Arial"/>
        </w:rPr>
      </w:pPr>
      <w:r w:rsidRPr="005D6307">
        <w:rPr>
          <w:rFonts w:cs="Arial"/>
          <w:b/>
        </w:rPr>
        <w:t>Intervention</w:t>
      </w:r>
      <w:r w:rsidRPr="005D6307">
        <w:rPr>
          <w:rFonts w:cs="Arial"/>
        </w:rPr>
        <w:t>: Melatonin</w:t>
      </w:r>
    </w:p>
    <w:p w14:paraId="266E0633" w14:textId="77777777" w:rsidR="005D6307" w:rsidRPr="005D6307" w:rsidRDefault="005D6307" w:rsidP="005D6307">
      <w:pPr>
        <w:spacing w:before="120" w:after="120" w:line="360" w:lineRule="auto"/>
        <w:jc w:val="both"/>
        <w:rPr>
          <w:rFonts w:cs="Arial"/>
        </w:rPr>
      </w:pPr>
      <w:r w:rsidRPr="005D6307">
        <w:rPr>
          <w:rFonts w:cs="Arial"/>
          <w:b/>
        </w:rPr>
        <w:t>Comparison</w:t>
      </w:r>
      <w:r w:rsidRPr="005D6307">
        <w:rPr>
          <w:rFonts w:cs="Arial"/>
        </w:rPr>
        <w:t>: Other treatment options</w:t>
      </w:r>
    </w:p>
    <w:p w14:paraId="65F08B79" w14:textId="77777777" w:rsidR="005D6307" w:rsidRPr="005D6307" w:rsidRDefault="005D6307" w:rsidP="005D6307">
      <w:pPr>
        <w:spacing w:before="120" w:after="120" w:line="360" w:lineRule="auto"/>
        <w:jc w:val="both"/>
        <w:rPr>
          <w:rFonts w:cs="Arial"/>
        </w:rPr>
      </w:pPr>
      <w:r w:rsidRPr="005D6307">
        <w:rPr>
          <w:rFonts w:cs="Arial"/>
          <w:b/>
        </w:rPr>
        <w:t>Outcomes</w:t>
      </w:r>
      <w:r w:rsidRPr="005D6307">
        <w:rPr>
          <w:rFonts w:cs="Arial"/>
        </w:rPr>
        <w:t>: Sleep- Patient safety, clinical effectiveness (in sleep management), strength of the evidence, cost-effectiveness or resource impact, place in therapy relative to available treatments, national guidance and priorities, local health priorities, equity of access, any other considerations</w:t>
      </w:r>
    </w:p>
    <w:p w14:paraId="5050E941" w14:textId="642A00C5" w:rsidR="00936ADF" w:rsidRDefault="00E94FBB" w:rsidP="009874F9">
      <w:pPr>
        <w:pStyle w:val="Heading2"/>
        <w:numPr>
          <w:ilvl w:val="0"/>
          <w:numId w:val="3"/>
        </w:numPr>
      </w:pPr>
      <w:r w:rsidRPr="00E94FBB">
        <w:t>Access</w:t>
      </w:r>
    </w:p>
    <w:p w14:paraId="3A6C79EE" w14:textId="10D9C6E1" w:rsidR="00E94FBB" w:rsidRPr="00413A10" w:rsidRDefault="00865361" w:rsidP="00865361">
      <w:pPr>
        <w:spacing w:before="120" w:after="120" w:line="360" w:lineRule="auto"/>
        <w:rPr>
          <w:rFonts w:cstheme="minorHAnsi"/>
          <w:szCs w:val="24"/>
        </w:rPr>
      </w:pPr>
      <w:r w:rsidRPr="00413A10">
        <w:rPr>
          <w:rFonts w:cstheme="minorHAnsi"/>
          <w:szCs w:val="24"/>
        </w:rPr>
        <w:t xml:space="preserve">A Clinical Effectiveness Programme Officer was asked to conduct the search and report findings. </w:t>
      </w:r>
    </w:p>
    <w:p w14:paraId="2E8B557A" w14:textId="006B0043" w:rsidR="00413661" w:rsidRPr="00413A10" w:rsidRDefault="00865361" w:rsidP="00413661">
      <w:pPr>
        <w:spacing w:before="120" w:after="120" w:line="360" w:lineRule="auto"/>
        <w:rPr>
          <w:rFonts w:cstheme="minorHAnsi"/>
          <w:szCs w:val="24"/>
        </w:rPr>
      </w:pPr>
      <w:r w:rsidRPr="00413A10">
        <w:rPr>
          <w:rFonts w:cstheme="minorHAnsi"/>
          <w:szCs w:val="24"/>
        </w:rPr>
        <w:lastRenderedPageBreak/>
        <w:t>The following search question</w:t>
      </w:r>
      <w:r w:rsidR="00E86EF2" w:rsidRPr="00413A10">
        <w:rPr>
          <w:rFonts w:cstheme="minorHAnsi"/>
          <w:szCs w:val="24"/>
        </w:rPr>
        <w:t xml:space="preserve"> was </w:t>
      </w:r>
      <w:r w:rsidRPr="00413A10">
        <w:rPr>
          <w:rFonts w:cstheme="minorHAnsi"/>
          <w:szCs w:val="24"/>
        </w:rPr>
        <w:t>addressed:</w:t>
      </w:r>
    </w:p>
    <w:p w14:paraId="6B51AAD3" w14:textId="0637B222" w:rsidR="00E94FBB" w:rsidRPr="00413661" w:rsidRDefault="00865361" w:rsidP="005207FE">
      <w:pPr>
        <w:autoSpaceDE w:val="0"/>
        <w:autoSpaceDN w:val="0"/>
        <w:adjustRightInd w:val="0"/>
        <w:spacing w:before="120" w:after="120" w:line="360" w:lineRule="auto"/>
        <w:rPr>
          <w:szCs w:val="24"/>
        </w:rPr>
      </w:pPr>
      <w:r w:rsidRPr="00413661">
        <w:rPr>
          <w:szCs w:val="24"/>
        </w:rPr>
        <w:t>The search strategy involved searching the following databases and websites:</w:t>
      </w:r>
    </w:p>
    <w:p w14:paraId="522E9DF1" w14:textId="68E7B49D" w:rsidR="00865361" w:rsidRPr="00413661" w:rsidRDefault="00865361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 w:rsidRPr="00413661">
        <w:rPr>
          <w:i/>
          <w:iCs/>
          <w:szCs w:val="24"/>
        </w:rPr>
        <w:t xml:space="preserve">Cochrane </w:t>
      </w:r>
      <w:r w:rsidR="00722A94">
        <w:rPr>
          <w:i/>
          <w:iCs/>
          <w:szCs w:val="24"/>
        </w:rPr>
        <w:t>Database of Systematic Reviews</w:t>
      </w:r>
    </w:p>
    <w:p w14:paraId="60BC9C94" w14:textId="167CFE5B" w:rsidR="00865361" w:rsidRPr="00E86EF2" w:rsidRDefault="00722A94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t>PubMed</w:t>
      </w:r>
    </w:p>
    <w:p w14:paraId="2E943BE2" w14:textId="77777777" w:rsidR="00237932" w:rsidRPr="00237932" w:rsidRDefault="00413A10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t>Google Scholar</w:t>
      </w:r>
    </w:p>
    <w:p w14:paraId="3A2B2708" w14:textId="47E2F0B6" w:rsidR="00413A10" w:rsidRPr="00413661" w:rsidRDefault="00237932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t>Trip Medical Database</w:t>
      </w:r>
    </w:p>
    <w:p w14:paraId="12763D7A" w14:textId="77F32BBB" w:rsidR="005207FE" w:rsidRDefault="005207FE" w:rsidP="005207FE">
      <w:pPr>
        <w:spacing w:before="120" w:after="120" w:line="360" w:lineRule="auto"/>
        <w:rPr>
          <w:szCs w:val="24"/>
        </w:rPr>
      </w:pPr>
      <w:r>
        <w:rPr>
          <w:szCs w:val="24"/>
        </w:rPr>
        <w:t>The following search strateg</w:t>
      </w:r>
      <w:r w:rsidR="00E86EF2">
        <w:rPr>
          <w:szCs w:val="24"/>
        </w:rPr>
        <w:t>y was</w:t>
      </w:r>
      <w:r>
        <w:rPr>
          <w:szCs w:val="24"/>
        </w:rPr>
        <w:t xml:space="preserve"> used:</w:t>
      </w:r>
    </w:p>
    <w:p w14:paraId="77983460" w14:textId="5FDD973C" w:rsidR="00237932" w:rsidRDefault="00237932" w:rsidP="00237932">
      <w:pPr>
        <w:tabs>
          <w:tab w:val="right" w:pos="9026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237932">
        <w:rPr>
          <w:rFonts w:ascii="Arial" w:hAnsi="Arial" w:cs="Arial"/>
          <w:szCs w:val="24"/>
        </w:rPr>
        <w:t>(paediat* OR pediat* OR child*) AND ("high dependency unit" OR HDU OR PHDU OR "intensive care" OR PICU) AND (melatonin) AND (sleep)</w:t>
      </w:r>
    </w:p>
    <w:p w14:paraId="5790F60B" w14:textId="614BC4C9" w:rsidR="00237932" w:rsidRPr="00237932" w:rsidRDefault="00237932" w:rsidP="0023793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Additional articles were identified through recommendations and ‘snowballing,’ </w:t>
      </w:r>
      <w:r w:rsidRPr="003D0F4D">
        <w:rPr>
          <w:rFonts w:ascii="Arial" w:hAnsi="Arial" w:cs="Arial"/>
        </w:rPr>
        <w:t>i.e., following up on reference lists of the documents returned using the search strateg</w:t>
      </w:r>
      <w:r>
        <w:rPr>
          <w:rFonts w:ascii="Arial" w:hAnsi="Arial" w:cs="Arial"/>
        </w:rPr>
        <w:t>y</w:t>
      </w:r>
      <w:r w:rsidRPr="003D0F4D">
        <w:rPr>
          <w:rFonts w:ascii="Arial" w:hAnsi="Arial" w:cs="Arial"/>
        </w:rPr>
        <w:t xml:space="preserve"> outlined above. </w:t>
      </w:r>
    </w:p>
    <w:p w14:paraId="0F7897FF" w14:textId="7741EF62" w:rsidR="00E86EF2" w:rsidRDefault="00E86EF2" w:rsidP="00E86EF2">
      <w:pPr>
        <w:pStyle w:val="Heading2"/>
        <w:numPr>
          <w:ilvl w:val="0"/>
          <w:numId w:val="3"/>
        </w:numPr>
      </w:pPr>
      <w:r>
        <w:t>Appraisal</w:t>
      </w:r>
    </w:p>
    <w:p w14:paraId="645A6589" w14:textId="62D9AAF7" w:rsidR="00193A45" w:rsidRPr="00AC4E3D" w:rsidRDefault="00237932" w:rsidP="00237932">
      <w:pPr>
        <w:spacing w:before="120" w:after="120" w:line="360" w:lineRule="auto"/>
        <w:jc w:val="both"/>
        <w:rPr>
          <w:szCs w:val="24"/>
        </w:rPr>
      </w:pPr>
      <w:r>
        <w:t xml:space="preserve">There is a notable lack of evidence on the use of melatonin in paediatric ICU and HDU environments. </w:t>
      </w:r>
      <w:r>
        <w:rPr>
          <w:szCs w:val="24"/>
        </w:rPr>
        <w:t xml:space="preserve">In total, 10 articles were identified.  Only 1 article discussed the melatonin use specified by the search aim, and </w:t>
      </w:r>
      <w:r>
        <w:t xml:space="preserve">that </w:t>
      </w:r>
      <w:r>
        <w:t>was</w:t>
      </w:r>
      <w:r>
        <w:t xml:space="preserve"> a single-centre observational study with limited utility in terms of efficacy and patient safety</w:t>
      </w:r>
      <w:r>
        <w:t>.</w:t>
      </w:r>
      <w:r>
        <w:rPr>
          <w:szCs w:val="24"/>
        </w:rPr>
        <w:t xml:space="preserve"> </w:t>
      </w:r>
    </w:p>
    <w:p w14:paraId="5F766B14" w14:textId="42A44EEC" w:rsidR="00E94FBB" w:rsidRDefault="00E94FBB" w:rsidP="009874F9">
      <w:pPr>
        <w:pStyle w:val="Heading2"/>
        <w:numPr>
          <w:ilvl w:val="0"/>
          <w:numId w:val="3"/>
        </w:numPr>
      </w:pPr>
      <w:r>
        <w:t>Apply</w:t>
      </w:r>
    </w:p>
    <w:p w14:paraId="37893FB4" w14:textId="1EC09357" w:rsidR="0097227B" w:rsidRPr="00AC4E3D" w:rsidRDefault="009874F9" w:rsidP="009874F9">
      <w:pPr>
        <w:spacing w:before="120" w:after="120" w:line="360" w:lineRule="auto"/>
      </w:pPr>
      <w:r w:rsidRPr="00B020C2">
        <w:rPr>
          <w:szCs w:val="24"/>
        </w:rPr>
        <w:t>Findings were reported in an evidence review</w:t>
      </w:r>
      <w:r w:rsidR="005D3578" w:rsidRPr="00B020C2">
        <w:rPr>
          <w:szCs w:val="24"/>
        </w:rPr>
        <w:t xml:space="preserve">.  </w:t>
      </w:r>
      <w:r w:rsidR="00B020C2">
        <w:t>None of the articles identified provides evidence about patient safety in the use of melatonin in PICU and HDU</w:t>
      </w:r>
      <w:r w:rsidR="00B020C2">
        <w:t xml:space="preserve">.  </w:t>
      </w:r>
      <w:r w:rsidR="00B020C2">
        <w:t>However, there is evidence to suggest that melatonin may have a good safety profile in paediatric populations more broadly</w:t>
      </w:r>
      <w:r w:rsidR="00B020C2">
        <w:t>.</w:t>
      </w:r>
    </w:p>
    <w:p w14:paraId="4530A997" w14:textId="77777777" w:rsidR="00E94FBB" w:rsidRDefault="00E94FBB" w:rsidP="009874F9">
      <w:pPr>
        <w:pStyle w:val="Heading2"/>
        <w:numPr>
          <w:ilvl w:val="0"/>
          <w:numId w:val="3"/>
        </w:numPr>
      </w:pPr>
      <w:r>
        <w:t>Share and Manage</w:t>
      </w:r>
    </w:p>
    <w:p w14:paraId="1277ACD9" w14:textId="076E0A4B" w:rsidR="00B020C2" w:rsidRDefault="009874F9" w:rsidP="00B020C2">
      <w:pPr>
        <w:spacing w:before="120" w:after="120" w:line="360" w:lineRule="auto"/>
        <w:jc w:val="both"/>
      </w:pPr>
      <w:r>
        <w:t xml:space="preserve">The findings of the review were consolidated into </w:t>
      </w:r>
      <w:r w:rsidR="0097227B">
        <w:t xml:space="preserve">an </w:t>
      </w:r>
      <w:r>
        <w:t>evidence review</w:t>
      </w:r>
      <w:r w:rsidR="0097227B">
        <w:t xml:space="preserve">. </w:t>
      </w:r>
      <w:r w:rsidR="00B020C2">
        <w:t xml:space="preserve">This report was shared with the JFG to inform decision making around using melatonin for sleep outcomes in PHDU and PICU.  </w:t>
      </w:r>
      <w:r w:rsidR="00B020C2">
        <w:lastRenderedPageBreak/>
        <w:t xml:space="preserve">With permission from the JFG, the report was shared on Health Innovation West of England’s Evidence Repository on the Future NHS platform, to promote a culture of shared learning. </w:t>
      </w:r>
    </w:p>
    <w:p w14:paraId="62CFFDF1" w14:textId="77777777" w:rsidR="00B020C2" w:rsidRDefault="00B020C2" w:rsidP="009874F9">
      <w:pPr>
        <w:spacing w:before="120" w:after="120" w:line="360" w:lineRule="auto"/>
      </w:pPr>
    </w:p>
    <w:p w14:paraId="1B09F73D" w14:textId="77777777" w:rsidR="009874F9" w:rsidRPr="009874F9" w:rsidRDefault="009874F9" w:rsidP="009874F9"/>
    <w:p w14:paraId="6ECA8580" w14:textId="77777777" w:rsidR="00936ADF" w:rsidRPr="00936ADF" w:rsidRDefault="00936ADF" w:rsidP="00936ADF"/>
    <w:p w14:paraId="359F78FB" w14:textId="77777777" w:rsidR="00936ADF" w:rsidRDefault="00936ADF" w:rsidP="00936ADF"/>
    <w:p w14:paraId="41F10DAD" w14:textId="77777777" w:rsidR="00936ADF" w:rsidRDefault="00936ADF" w:rsidP="00936ADF"/>
    <w:p w14:paraId="57A66D2E" w14:textId="77777777" w:rsidR="00936ADF" w:rsidRDefault="00936ADF" w:rsidP="00936ADF"/>
    <w:p w14:paraId="26B7548E" w14:textId="77777777" w:rsidR="00936ADF" w:rsidRPr="00936ADF" w:rsidRDefault="00936ADF" w:rsidP="00936ADF"/>
    <w:p w14:paraId="531DBA49" w14:textId="77777777" w:rsidR="00652737" w:rsidRDefault="00652737" w:rsidP="00936ADF">
      <w:pPr>
        <w:autoSpaceDE w:val="0"/>
        <w:autoSpaceDN w:val="0"/>
        <w:adjustRightInd w:val="0"/>
        <w:spacing w:before="120" w:after="120" w:line="360" w:lineRule="auto"/>
        <w:ind w:left="720" w:hanging="720"/>
        <w:rPr>
          <w:rFonts w:eastAsia="GuardianSansGR-Regular" w:cstheme="minorHAnsi"/>
          <w:szCs w:val="24"/>
        </w:rPr>
      </w:pPr>
    </w:p>
    <w:p w14:paraId="660C01BC" w14:textId="77777777" w:rsidR="00B503A4" w:rsidRPr="00B503A4" w:rsidRDefault="00B503A4" w:rsidP="00B503A4">
      <w:pPr>
        <w:rPr>
          <w:szCs w:val="24"/>
        </w:rPr>
      </w:pPr>
      <w:bookmarkStart w:id="1" w:name="_References"/>
      <w:bookmarkEnd w:id="1"/>
    </w:p>
    <w:sectPr w:rsidR="00B503A4" w:rsidRPr="00B503A4" w:rsidSect="00DA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3C53" w14:textId="77777777" w:rsidR="005659D6" w:rsidRDefault="005659D6" w:rsidP="009B0CD1">
      <w:pPr>
        <w:spacing w:line="240" w:lineRule="auto"/>
      </w:pPr>
      <w:r>
        <w:separator/>
      </w:r>
    </w:p>
  </w:endnote>
  <w:endnote w:type="continuationSeparator" w:id="0">
    <w:p w14:paraId="46F5DF32" w14:textId="77777777" w:rsidR="005659D6" w:rsidRDefault="005659D6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GR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53B" w14:textId="77777777" w:rsidR="005D6307" w:rsidRDefault="005D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64FE" w14:textId="77777777" w:rsidR="005659D6" w:rsidRDefault="005659D6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43A5755" wp14:editId="7D353B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6BAB3DBC" w14:textId="77777777" w:rsidR="005659D6" w:rsidRPr="00FB07BC" w:rsidRDefault="005659D6" w:rsidP="00FB07B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05D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946" w14:textId="77777777" w:rsidR="005659D6" w:rsidRDefault="005659D6">
    <w:pPr>
      <w:pStyle w:val="Footer"/>
    </w:pPr>
  </w:p>
  <w:p w14:paraId="05B5C4B4" w14:textId="77777777" w:rsidR="005659D6" w:rsidRDefault="0056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7E8F" w14:textId="77777777" w:rsidR="005659D6" w:rsidRDefault="005659D6" w:rsidP="009B0CD1">
      <w:pPr>
        <w:spacing w:line="240" w:lineRule="auto"/>
      </w:pPr>
      <w:r>
        <w:separator/>
      </w:r>
    </w:p>
  </w:footnote>
  <w:footnote w:type="continuationSeparator" w:id="0">
    <w:p w14:paraId="105E9E57" w14:textId="77777777" w:rsidR="005659D6" w:rsidRDefault="005659D6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12A" w14:textId="77777777" w:rsidR="005D6307" w:rsidRDefault="005D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DA5" w14:textId="0B84FA5F" w:rsidR="00C54CFB" w:rsidRPr="00695327" w:rsidRDefault="00D51C09" w:rsidP="00404036">
    <w:pPr>
      <w:pStyle w:val="Header"/>
      <w:pBdr>
        <w:bottom w:val="none" w:sz="0" w:space="0" w:color="auto"/>
      </w:pBdr>
      <w:rPr>
        <w:sz w:val="24"/>
      </w:rPr>
    </w:pPr>
    <w:r>
      <w:rPr>
        <w:sz w:val="24"/>
      </w:rPr>
      <w:t xml:space="preserve">Case Study: </w:t>
    </w:r>
    <w:r w:rsidR="00B020C2">
      <w:rPr>
        <w:sz w:val="24"/>
      </w:rPr>
      <w:t>Melatonin for Sleep Outcomes in PICU/ PHDU</w:t>
    </w:r>
  </w:p>
  <w:p w14:paraId="2F2629E6" w14:textId="77777777" w:rsidR="005659D6" w:rsidRDefault="005659D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37C78" wp14:editId="749ADDC2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002D8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945" w14:textId="7A2EFDA9" w:rsidR="005659D6" w:rsidRDefault="005D6307" w:rsidP="00FB07BC"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C63F37" wp14:editId="3AF1C33F">
          <wp:simplePos x="0" y="0"/>
          <wp:positionH relativeFrom="column">
            <wp:posOffset>3638550</wp:posOffset>
          </wp:positionH>
          <wp:positionV relativeFrom="paragraph">
            <wp:posOffset>-161925</wp:posOffset>
          </wp:positionV>
          <wp:extent cx="3274060" cy="1086888"/>
          <wp:effectExtent l="0" t="0" r="2540" b="0"/>
          <wp:wrapNone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108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86906" w14:textId="77777777" w:rsidR="005659D6" w:rsidRDefault="005659D6" w:rsidP="00FB07BC"/>
  <w:p w14:paraId="4461E46B" w14:textId="77777777" w:rsidR="005659D6" w:rsidRDefault="005659D6" w:rsidP="00FB07BC"/>
  <w:p w14:paraId="7A84C385" w14:textId="77777777" w:rsidR="005659D6" w:rsidRDefault="005659D6" w:rsidP="00FB07BC"/>
  <w:p w14:paraId="524DBFAC" w14:textId="77777777" w:rsidR="005659D6" w:rsidRDefault="005659D6" w:rsidP="00FB07BC"/>
  <w:p w14:paraId="0BBF1B27" w14:textId="77777777" w:rsidR="005659D6" w:rsidRPr="00FB07BC" w:rsidRDefault="005659D6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0159D5"/>
    <w:multiLevelType w:val="hybridMultilevel"/>
    <w:tmpl w:val="09182374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9EA"/>
    <w:multiLevelType w:val="hybridMultilevel"/>
    <w:tmpl w:val="559A5DCC"/>
    <w:lvl w:ilvl="0" w:tplc="D9FA0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02AB1"/>
    <w:multiLevelType w:val="hybridMultilevel"/>
    <w:tmpl w:val="4B462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C3160"/>
    <w:multiLevelType w:val="hybridMultilevel"/>
    <w:tmpl w:val="DC9C0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64993"/>
    <w:multiLevelType w:val="hybridMultilevel"/>
    <w:tmpl w:val="BCBAC5E6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481"/>
    <w:multiLevelType w:val="hybridMultilevel"/>
    <w:tmpl w:val="2DA4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6E06"/>
    <w:multiLevelType w:val="hybridMultilevel"/>
    <w:tmpl w:val="5A3E98F0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12E9"/>
    <w:multiLevelType w:val="hybridMultilevel"/>
    <w:tmpl w:val="144E7C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0B50"/>
    <w:multiLevelType w:val="multilevel"/>
    <w:tmpl w:val="5D6A105A"/>
    <w:numStyleLink w:val="NHSBNSSGBulletList"/>
  </w:abstractNum>
  <w:abstractNum w:abstractNumId="10" w15:restartNumberingAfterBreak="0">
    <w:nsid w:val="71B910C3"/>
    <w:multiLevelType w:val="hybridMultilevel"/>
    <w:tmpl w:val="58FE9FEC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096DB0"/>
    <w:multiLevelType w:val="hybridMultilevel"/>
    <w:tmpl w:val="A9B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703F"/>
    <w:multiLevelType w:val="hybridMultilevel"/>
    <w:tmpl w:val="0442D3D8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67CC3"/>
    <w:multiLevelType w:val="hybridMultilevel"/>
    <w:tmpl w:val="1A14E316"/>
    <w:lvl w:ilvl="0" w:tplc="06C2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612C"/>
    <w:multiLevelType w:val="hybridMultilevel"/>
    <w:tmpl w:val="223494DA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532828">
    <w:abstractNumId w:val="0"/>
  </w:num>
  <w:num w:numId="2" w16cid:durableId="1310986873">
    <w:abstractNumId w:val="9"/>
  </w:num>
  <w:num w:numId="3" w16cid:durableId="1791781753">
    <w:abstractNumId w:val="3"/>
  </w:num>
  <w:num w:numId="4" w16cid:durableId="958998281">
    <w:abstractNumId w:val="6"/>
  </w:num>
  <w:num w:numId="5" w16cid:durableId="1046488777">
    <w:abstractNumId w:val="11"/>
  </w:num>
  <w:num w:numId="6" w16cid:durableId="98331916">
    <w:abstractNumId w:val="10"/>
  </w:num>
  <w:num w:numId="7" w16cid:durableId="167838942">
    <w:abstractNumId w:val="4"/>
  </w:num>
  <w:num w:numId="8" w16cid:durableId="2080397032">
    <w:abstractNumId w:val="7"/>
  </w:num>
  <w:num w:numId="9" w16cid:durableId="1890143894">
    <w:abstractNumId w:val="1"/>
  </w:num>
  <w:num w:numId="10" w16cid:durableId="1753507690">
    <w:abstractNumId w:val="2"/>
  </w:num>
  <w:num w:numId="11" w16cid:durableId="1789425872">
    <w:abstractNumId w:val="12"/>
  </w:num>
  <w:num w:numId="12" w16cid:durableId="132020990">
    <w:abstractNumId w:val="5"/>
  </w:num>
  <w:num w:numId="13" w16cid:durableId="267663780">
    <w:abstractNumId w:val="14"/>
  </w:num>
  <w:num w:numId="14" w16cid:durableId="1600796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1799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95"/>
    <w:rsid w:val="0000075C"/>
    <w:rsid w:val="0000177E"/>
    <w:rsid w:val="00001BFD"/>
    <w:rsid w:val="000144FC"/>
    <w:rsid w:val="000225EC"/>
    <w:rsid w:val="00024AEB"/>
    <w:rsid w:val="000261A2"/>
    <w:rsid w:val="00026977"/>
    <w:rsid w:val="00027C78"/>
    <w:rsid w:val="00031D9C"/>
    <w:rsid w:val="000331C4"/>
    <w:rsid w:val="00040ACD"/>
    <w:rsid w:val="00040C26"/>
    <w:rsid w:val="000410DD"/>
    <w:rsid w:val="0004135E"/>
    <w:rsid w:val="0004216F"/>
    <w:rsid w:val="00042BCC"/>
    <w:rsid w:val="00042E39"/>
    <w:rsid w:val="0004457F"/>
    <w:rsid w:val="00046543"/>
    <w:rsid w:val="000563BA"/>
    <w:rsid w:val="0006008D"/>
    <w:rsid w:val="000624DE"/>
    <w:rsid w:val="00062743"/>
    <w:rsid w:val="00065F54"/>
    <w:rsid w:val="00070DBB"/>
    <w:rsid w:val="00075B84"/>
    <w:rsid w:val="000761CE"/>
    <w:rsid w:val="000766AE"/>
    <w:rsid w:val="000804EC"/>
    <w:rsid w:val="00087086"/>
    <w:rsid w:val="0009160C"/>
    <w:rsid w:val="000928A9"/>
    <w:rsid w:val="000A1C4B"/>
    <w:rsid w:val="000A2346"/>
    <w:rsid w:val="000A239F"/>
    <w:rsid w:val="000A4500"/>
    <w:rsid w:val="000A67C7"/>
    <w:rsid w:val="000B0FE7"/>
    <w:rsid w:val="000B1E7E"/>
    <w:rsid w:val="000B3D02"/>
    <w:rsid w:val="000B767B"/>
    <w:rsid w:val="000C198A"/>
    <w:rsid w:val="000C2CC7"/>
    <w:rsid w:val="000C7AE0"/>
    <w:rsid w:val="000D1C78"/>
    <w:rsid w:val="000D5E48"/>
    <w:rsid w:val="000D645D"/>
    <w:rsid w:val="000E1A85"/>
    <w:rsid w:val="000E3C66"/>
    <w:rsid w:val="000E4847"/>
    <w:rsid w:val="000E5BB4"/>
    <w:rsid w:val="000F5782"/>
    <w:rsid w:val="000F6359"/>
    <w:rsid w:val="000F7C0E"/>
    <w:rsid w:val="001034F6"/>
    <w:rsid w:val="00104CAE"/>
    <w:rsid w:val="00105BE6"/>
    <w:rsid w:val="0011644A"/>
    <w:rsid w:val="0011665B"/>
    <w:rsid w:val="00120A5B"/>
    <w:rsid w:val="00126D1D"/>
    <w:rsid w:val="001363EE"/>
    <w:rsid w:val="00150584"/>
    <w:rsid w:val="0016357B"/>
    <w:rsid w:val="00163A9C"/>
    <w:rsid w:val="00171216"/>
    <w:rsid w:val="00177158"/>
    <w:rsid w:val="00180A70"/>
    <w:rsid w:val="00181FA1"/>
    <w:rsid w:val="00185697"/>
    <w:rsid w:val="00193A45"/>
    <w:rsid w:val="001958DB"/>
    <w:rsid w:val="0019678C"/>
    <w:rsid w:val="00197EBE"/>
    <w:rsid w:val="001A03B8"/>
    <w:rsid w:val="001A397A"/>
    <w:rsid w:val="001A560A"/>
    <w:rsid w:val="001A6611"/>
    <w:rsid w:val="001A7415"/>
    <w:rsid w:val="001A7441"/>
    <w:rsid w:val="001B1BD2"/>
    <w:rsid w:val="001B1FC1"/>
    <w:rsid w:val="001B2F46"/>
    <w:rsid w:val="001C0799"/>
    <w:rsid w:val="001C0A85"/>
    <w:rsid w:val="001C2B26"/>
    <w:rsid w:val="001C43D3"/>
    <w:rsid w:val="001D1D16"/>
    <w:rsid w:val="001D473F"/>
    <w:rsid w:val="001E339D"/>
    <w:rsid w:val="001F087D"/>
    <w:rsid w:val="001F3E97"/>
    <w:rsid w:val="00202218"/>
    <w:rsid w:val="00206D28"/>
    <w:rsid w:val="00210B2D"/>
    <w:rsid w:val="00213A52"/>
    <w:rsid w:val="002165F3"/>
    <w:rsid w:val="0022508F"/>
    <w:rsid w:val="00231D80"/>
    <w:rsid w:val="00237932"/>
    <w:rsid w:val="00237C08"/>
    <w:rsid w:val="00241880"/>
    <w:rsid w:val="00243201"/>
    <w:rsid w:val="00244A00"/>
    <w:rsid w:val="002450A3"/>
    <w:rsid w:val="00251489"/>
    <w:rsid w:val="00252896"/>
    <w:rsid w:val="00252943"/>
    <w:rsid w:val="0025438A"/>
    <w:rsid w:val="00260AD7"/>
    <w:rsid w:val="00264653"/>
    <w:rsid w:val="00267777"/>
    <w:rsid w:val="0027065D"/>
    <w:rsid w:val="002727EF"/>
    <w:rsid w:val="00272C06"/>
    <w:rsid w:val="00273A75"/>
    <w:rsid w:val="00280DE9"/>
    <w:rsid w:val="00283443"/>
    <w:rsid w:val="00290A2A"/>
    <w:rsid w:val="0029330A"/>
    <w:rsid w:val="002949BC"/>
    <w:rsid w:val="00294A7E"/>
    <w:rsid w:val="0029719F"/>
    <w:rsid w:val="002A6C9A"/>
    <w:rsid w:val="002B2266"/>
    <w:rsid w:val="002B4F4B"/>
    <w:rsid w:val="002C433D"/>
    <w:rsid w:val="002D11EE"/>
    <w:rsid w:val="002D21EC"/>
    <w:rsid w:val="002D2FEC"/>
    <w:rsid w:val="002D6A0B"/>
    <w:rsid w:val="002D7B99"/>
    <w:rsid w:val="002E1BE0"/>
    <w:rsid w:val="002E402A"/>
    <w:rsid w:val="002E4590"/>
    <w:rsid w:val="002F24E3"/>
    <w:rsid w:val="002F4106"/>
    <w:rsid w:val="002F6249"/>
    <w:rsid w:val="002F64D7"/>
    <w:rsid w:val="002F7AD7"/>
    <w:rsid w:val="0030231F"/>
    <w:rsid w:val="0030339B"/>
    <w:rsid w:val="0030346A"/>
    <w:rsid w:val="00303BCB"/>
    <w:rsid w:val="00304E54"/>
    <w:rsid w:val="00305312"/>
    <w:rsid w:val="00310518"/>
    <w:rsid w:val="0031191A"/>
    <w:rsid w:val="00311D30"/>
    <w:rsid w:val="00311F0C"/>
    <w:rsid w:val="003136F0"/>
    <w:rsid w:val="003147A4"/>
    <w:rsid w:val="003240B4"/>
    <w:rsid w:val="00325E75"/>
    <w:rsid w:val="00331E45"/>
    <w:rsid w:val="00333CD5"/>
    <w:rsid w:val="00334D89"/>
    <w:rsid w:val="003402ED"/>
    <w:rsid w:val="00342245"/>
    <w:rsid w:val="003448E8"/>
    <w:rsid w:val="003508F4"/>
    <w:rsid w:val="003620D7"/>
    <w:rsid w:val="00363678"/>
    <w:rsid w:val="0036439F"/>
    <w:rsid w:val="003648D8"/>
    <w:rsid w:val="00370363"/>
    <w:rsid w:val="0037262D"/>
    <w:rsid w:val="003748FD"/>
    <w:rsid w:val="00374DC5"/>
    <w:rsid w:val="003872CB"/>
    <w:rsid w:val="003873E2"/>
    <w:rsid w:val="00394BC4"/>
    <w:rsid w:val="00396BBD"/>
    <w:rsid w:val="003A0031"/>
    <w:rsid w:val="003A268C"/>
    <w:rsid w:val="003A49A2"/>
    <w:rsid w:val="003A6CA8"/>
    <w:rsid w:val="003B064D"/>
    <w:rsid w:val="003B0FF9"/>
    <w:rsid w:val="003B1669"/>
    <w:rsid w:val="003B3364"/>
    <w:rsid w:val="003C14EF"/>
    <w:rsid w:val="003C1696"/>
    <w:rsid w:val="003C2518"/>
    <w:rsid w:val="003C44BD"/>
    <w:rsid w:val="003C769D"/>
    <w:rsid w:val="003D1234"/>
    <w:rsid w:val="003E19AC"/>
    <w:rsid w:val="003E2F3C"/>
    <w:rsid w:val="003E4032"/>
    <w:rsid w:val="003E75D9"/>
    <w:rsid w:val="003F08A0"/>
    <w:rsid w:val="003F598E"/>
    <w:rsid w:val="003F679E"/>
    <w:rsid w:val="0040064E"/>
    <w:rsid w:val="004015CD"/>
    <w:rsid w:val="00403BA8"/>
    <w:rsid w:val="00404036"/>
    <w:rsid w:val="00407D3D"/>
    <w:rsid w:val="0041017D"/>
    <w:rsid w:val="00411D5C"/>
    <w:rsid w:val="004122D9"/>
    <w:rsid w:val="00413661"/>
    <w:rsid w:val="00413A10"/>
    <w:rsid w:val="0042074C"/>
    <w:rsid w:val="00420829"/>
    <w:rsid w:val="00423C4F"/>
    <w:rsid w:val="00425472"/>
    <w:rsid w:val="00426229"/>
    <w:rsid w:val="00426BBC"/>
    <w:rsid w:val="00427F3A"/>
    <w:rsid w:val="00430ABF"/>
    <w:rsid w:val="00433BB8"/>
    <w:rsid w:val="00434A9B"/>
    <w:rsid w:val="00436375"/>
    <w:rsid w:val="00436882"/>
    <w:rsid w:val="00437CCD"/>
    <w:rsid w:val="00440B7A"/>
    <w:rsid w:val="00444C3A"/>
    <w:rsid w:val="0045392F"/>
    <w:rsid w:val="004579FE"/>
    <w:rsid w:val="00457DD2"/>
    <w:rsid w:val="00465E71"/>
    <w:rsid w:val="004709F1"/>
    <w:rsid w:val="00471121"/>
    <w:rsid w:val="00474575"/>
    <w:rsid w:val="00476DB4"/>
    <w:rsid w:val="00482B39"/>
    <w:rsid w:val="004839AC"/>
    <w:rsid w:val="00483A64"/>
    <w:rsid w:val="00483F46"/>
    <w:rsid w:val="004857B4"/>
    <w:rsid w:val="00490A28"/>
    <w:rsid w:val="00491113"/>
    <w:rsid w:val="00491CE9"/>
    <w:rsid w:val="00492780"/>
    <w:rsid w:val="00493EF8"/>
    <w:rsid w:val="004A057C"/>
    <w:rsid w:val="004A28C8"/>
    <w:rsid w:val="004B17CB"/>
    <w:rsid w:val="004B1865"/>
    <w:rsid w:val="004B3EE6"/>
    <w:rsid w:val="004C219F"/>
    <w:rsid w:val="004C35C7"/>
    <w:rsid w:val="004C4A46"/>
    <w:rsid w:val="004C6EBA"/>
    <w:rsid w:val="004C7612"/>
    <w:rsid w:val="004D0220"/>
    <w:rsid w:val="004D10E1"/>
    <w:rsid w:val="004D29A6"/>
    <w:rsid w:val="004D5B3F"/>
    <w:rsid w:val="004D6D00"/>
    <w:rsid w:val="004D6E6B"/>
    <w:rsid w:val="004E0A72"/>
    <w:rsid w:val="004E122F"/>
    <w:rsid w:val="004E19E7"/>
    <w:rsid w:val="004E1D47"/>
    <w:rsid w:val="004E2776"/>
    <w:rsid w:val="004E4424"/>
    <w:rsid w:val="004F296A"/>
    <w:rsid w:val="004F3648"/>
    <w:rsid w:val="004F3949"/>
    <w:rsid w:val="004F5D60"/>
    <w:rsid w:val="004F6B2F"/>
    <w:rsid w:val="00503815"/>
    <w:rsid w:val="00506117"/>
    <w:rsid w:val="00506CD6"/>
    <w:rsid w:val="00510E61"/>
    <w:rsid w:val="005123ED"/>
    <w:rsid w:val="00515E96"/>
    <w:rsid w:val="005207FE"/>
    <w:rsid w:val="00520909"/>
    <w:rsid w:val="00523A2F"/>
    <w:rsid w:val="005250E9"/>
    <w:rsid w:val="00525487"/>
    <w:rsid w:val="0053293E"/>
    <w:rsid w:val="00533D18"/>
    <w:rsid w:val="00536572"/>
    <w:rsid w:val="00536C26"/>
    <w:rsid w:val="00540330"/>
    <w:rsid w:val="00542911"/>
    <w:rsid w:val="0054426C"/>
    <w:rsid w:val="005449B2"/>
    <w:rsid w:val="00555427"/>
    <w:rsid w:val="005659D6"/>
    <w:rsid w:val="005671C7"/>
    <w:rsid w:val="00570B88"/>
    <w:rsid w:val="005749FD"/>
    <w:rsid w:val="00574C68"/>
    <w:rsid w:val="005772A2"/>
    <w:rsid w:val="0057753B"/>
    <w:rsid w:val="00580514"/>
    <w:rsid w:val="005813E6"/>
    <w:rsid w:val="00583944"/>
    <w:rsid w:val="005854BA"/>
    <w:rsid w:val="005903E4"/>
    <w:rsid w:val="00593BEB"/>
    <w:rsid w:val="00593C18"/>
    <w:rsid w:val="00593F21"/>
    <w:rsid w:val="00596968"/>
    <w:rsid w:val="005A1DE8"/>
    <w:rsid w:val="005A2CB8"/>
    <w:rsid w:val="005A321D"/>
    <w:rsid w:val="005A51DD"/>
    <w:rsid w:val="005A5578"/>
    <w:rsid w:val="005A5CBA"/>
    <w:rsid w:val="005A6C6D"/>
    <w:rsid w:val="005B29C6"/>
    <w:rsid w:val="005B46B0"/>
    <w:rsid w:val="005B7225"/>
    <w:rsid w:val="005C1562"/>
    <w:rsid w:val="005C21FF"/>
    <w:rsid w:val="005C23A5"/>
    <w:rsid w:val="005C6DF5"/>
    <w:rsid w:val="005C7033"/>
    <w:rsid w:val="005C73EB"/>
    <w:rsid w:val="005D3578"/>
    <w:rsid w:val="005D48E7"/>
    <w:rsid w:val="005D4BEA"/>
    <w:rsid w:val="005D5052"/>
    <w:rsid w:val="005D58CE"/>
    <w:rsid w:val="005D6307"/>
    <w:rsid w:val="005E0DF7"/>
    <w:rsid w:val="005E1C9B"/>
    <w:rsid w:val="005E2BC6"/>
    <w:rsid w:val="005E39A3"/>
    <w:rsid w:val="005E5CD2"/>
    <w:rsid w:val="005E7EC3"/>
    <w:rsid w:val="005F0018"/>
    <w:rsid w:val="005F13DC"/>
    <w:rsid w:val="005F4058"/>
    <w:rsid w:val="005F50DC"/>
    <w:rsid w:val="005F5149"/>
    <w:rsid w:val="005F7BBD"/>
    <w:rsid w:val="0060329D"/>
    <w:rsid w:val="006043B3"/>
    <w:rsid w:val="006072B1"/>
    <w:rsid w:val="00611806"/>
    <w:rsid w:val="006166F1"/>
    <w:rsid w:val="0062109B"/>
    <w:rsid w:val="00622DAA"/>
    <w:rsid w:val="00625798"/>
    <w:rsid w:val="0063278D"/>
    <w:rsid w:val="00637DD0"/>
    <w:rsid w:val="00642352"/>
    <w:rsid w:val="0064279B"/>
    <w:rsid w:val="0064325A"/>
    <w:rsid w:val="00651714"/>
    <w:rsid w:val="00652737"/>
    <w:rsid w:val="00661FAD"/>
    <w:rsid w:val="0067183A"/>
    <w:rsid w:val="00672693"/>
    <w:rsid w:val="00672AFF"/>
    <w:rsid w:val="00681CF7"/>
    <w:rsid w:val="00682DAF"/>
    <w:rsid w:val="00684499"/>
    <w:rsid w:val="00684D92"/>
    <w:rsid w:val="0068770B"/>
    <w:rsid w:val="00692CE5"/>
    <w:rsid w:val="00693CB5"/>
    <w:rsid w:val="00695033"/>
    <w:rsid w:val="00695327"/>
    <w:rsid w:val="006978BD"/>
    <w:rsid w:val="00697D80"/>
    <w:rsid w:val="006A0F1E"/>
    <w:rsid w:val="006A2D07"/>
    <w:rsid w:val="006A4E85"/>
    <w:rsid w:val="006A616E"/>
    <w:rsid w:val="006B1B3C"/>
    <w:rsid w:val="006B2235"/>
    <w:rsid w:val="006B3E81"/>
    <w:rsid w:val="006C048B"/>
    <w:rsid w:val="006C2796"/>
    <w:rsid w:val="006C3B7A"/>
    <w:rsid w:val="006D7EDA"/>
    <w:rsid w:val="006E2469"/>
    <w:rsid w:val="006F331A"/>
    <w:rsid w:val="006F7A8E"/>
    <w:rsid w:val="00705E07"/>
    <w:rsid w:val="0070707A"/>
    <w:rsid w:val="00714D16"/>
    <w:rsid w:val="00715F31"/>
    <w:rsid w:val="00722271"/>
    <w:rsid w:val="00722A94"/>
    <w:rsid w:val="007258F6"/>
    <w:rsid w:val="007259A2"/>
    <w:rsid w:val="007278A0"/>
    <w:rsid w:val="00730A20"/>
    <w:rsid w:val="0073360A"/>
    <w:rsid w:val="00734346"/>
    <w:rsid w:val="00734E95"/>
    <w:rsid w:val="007378CC"/>
    <w:rsid w:val="00741251"/>
    <w:rsid w:val="00742422"/>
    <w:rsid w:val="00742702"/>
    <w:rsid w:val="00751CA3"/>
    <w:rsid w:val="00754FAC"/>
    <w:rsid w:val="007606CE"/>
    <w:rsid w:val="007667EE"/>
    <w:rsid w:val="00774AA8"/>
    <w:rsid w:val="0077505F"/>
    <w:rsid w:val="007808B0"/>
    <w:rsid w:val="00782F27"/>
    <w:rsid w:val="00783E2C"/>
    <w:rsid w:val="00787850"/>
    <w:rsid w:val="00790E5E"/>
    <w:rsid w:val="00790F29"/>
    <w:rsid w:val="00793359"/>
    <w:rsid w:val="00796834"/>
    <w:rsid w:val="007A0F4D"/>
    <w:rsid w:val="007B03FC"/>
    <w:rsid w:val="007B157A"/>
    <w:rsid w:val="007B50FF"/>
    <w:rsid w:val="007B7A56"/>
    <w:rsid w:val="007C3355"/>
    <w:rsid w:val="007C4B8D"/>
    <w:rsid w:val="007C72B4"/>
    <w:rsid w:val="007C7BF7"/>
    <w:rsid w:val="007D5C27"/>
    <w:rsid w:val="007D62E3"/>
    <w:rsid w:val="007D755E"/>
    <w:rsid w:val="007E14D7"/>
    <w:rsid w:val="007E402A"/>
    <w:rsid w:val="007E7763"/>
    <w:rsid w:val="007F217A"/>
    <w:rsid w:val="007F2925"/>
    <w:rsid w:val="00802535"/>
    <w:rsid w:val="0080494A"/>
    <w:rsid w:val="00804F0E"/>
    <w:rsid w:val="0080581C"/>
    <w:rsid w:val="00805BA8"/>
    <w:rsid w:val="00807B9E"/>
    <w:rsid w:val="00810FA9"/>
    <w:rsid w:val="00811866"/>
    <w:rsid w:val="008129CA"/>
    <w:rsid w:val="00813B0E"/>
    <w:rsid w:val="00817BB4"/>
    <w:rsid w:val="00826114"/>
    <w:rsid w:val="008303F1"/>
    <w:rsid w:val="00830C6F"/>
    <w:rsid w:val="00832E19"/>
    <w:rsid w:val="00833152"/>
    <w:rsid w:val="008332AA"/>
    <w:rsid w:val="0083377C"/>
    <w:rsid w:val="00840A58"/>
    <w:rsid w:val="00841BD1"/>
    <w:rsid w:val="008420AD"/>
    <w:rsid w:val="00843244"/>
    <w:rsid w:val="00852B60"/>
    <w:rsid w:val="00860F33"/>
    <w:rsid w:val="00861886"/>
    <w:rsid w:val="00863A4B"/>
    <w:rsid w:val="00865361"/>
    <w:rsid w:val="00866DD0"/>
    <w:rsid w:val="008679CB"/>
    <w:rsid w:val="00867CE6"/>
    <w:rsid w:val="00867FC5"/>
    <w:rsid w:val="00875C9F"/>
    <w:rsid w:val="00877A01"/>
    <w:rsid w:val="008861E7"/>
    <w:rsid w:val="00886EF4"/>
    <w:rsid w:val="00887761"/>
    <w:rsid w:val="00890032"/>
    <w:rsid w:val="00890886"/>
    <w:rsid w:val="00893EFE"/>
    <w:rsid w:val="00895A19"/>
    <w:rsid w:val="00895CAD"/>
    <w:rsid w:val="00896DDF"/>
    <w:rsid w:val="008A0517"/>
    <w:rsid w:val="008A06BD"/>
    <w:rsid w:val="008A78DE"/>
    <w:rsid w:val="008B13EE"/>
    <w:rsid w:val="008B772C"/>
    <w:rsid w:val="008C1693"/>
    <w:rsid w:val="008C25BE"/>
    <w:rsid w:val="008C7517"/>
    <w:rsid w:val="008C7F73"/>
    <w:rsid w:val="008D0D14"/>
    <w:rsid w:val="008D196D"/>
    <w:rsid w:val="008D3DF6"/>
    <w:rsid w:val="008D5C41"/>
    <w:rsid w:val="008D6710"/>
    <w:rsid w:val="008D71A8"/>
    <w:rsid w:val="008D7F19"/>
    <w:rsid w:val="008F607B"/>
    <w:rsid w:val="008F71FA"/>
    <w:rsid w:val="00900AE9"/>
    <w:rsid w:val="0090245A"/>
    <w:rsid w:val="009045DE"/>
    <w:rsid w:val="00904727"/>
    <w:rsid w:val="00904E6D"/>
    <w:rsid w:val="0090632D"/>
    <w:rsid w:val="009066F5"/>
    <w:rsid w:val="0091034E"/>
    <w:rsid w:val="00911C29"/>
    <w:rsid w:val="009130D0"/>
    <w:rsid w:val="00914095"/>
    <w:rsid w:val="00915CB5"/>
    <w:rsid w:val="0091682C"/>
    <w:rsid w:val="00920132"/>
    <w:rsid w:val="00922CAF"/>
    <w:rsid w:val="00924346"/>
    <w:rsid w:val="00932583"/>
    <w:rsid w:val="0093390C"/>
    <w:rsid w:val="00936ADF"/>
    <w:rsid w:val="00936F8B"/>
    <w:rsid w:val="0094147B"/>
    <w:rsid w:val="00942769"/>
    <w:rsid w:val="00946B07"/>
    <w:rsid w:val="00947780"/>
    <w:rsid w:val="00953366"/>
    <w:rsid w:val="00954790"/>
    <w:rsid w:val="00954E02"/>
    <w:rsid w:val="00955926"/>
    <w:rsid w:val="009607EA"/>
    <w:rsid w:val="009662B0"/>
    <w:rsid w:val="00967F9C"/>
    <w:rsid w:val="0097227B"/>
    <w:rsid w:val="00972451"/>
    <w:rsid w:val="00974E15"/>
    <w:rsid w:val="009768E8"/>
    <w:rsid w:val="00976D52"/>
    <w:rsid w:val="00977B06"/>
    <w:rsid w:val="00981F63"/>
    <w:rsid w:val="00983955"/>
    <w:rsid w:val="00983C32"/>
    <w:rsid w:val="009874F9"/>
    <w:rsid w:val="00990332"/>
    <w:rsid w:val="009920F5"/>
    <w:rsid w:val="009934B2"/>
    <w:rsid w:val="00994C2E"/>
    <w:rsid w:val="0099581B"/>
    <w:rsid w:val="00995BE2"/>
    <w:rsid w:val="00996D83"/>
    <w:rsid w:val="00996E46"/>
    <w:rsid w:val="009A0737"/>
    <w:rsid w:val="009A0B63"/>
    <w:rsid w:val="009A6D1B"/>
    <w:rsid w:val="009B0CD1"/>
    <w:rsid w:val="009B4ABA"/>
    <w:rsid w:val="009B4CC3"/>
    <w:rsid w:val="009B4FD1"/>
    <w:rsid w:val="009B55DE"/>
    <w:rsid w:val="009D04FC"/>
    <w:rsid w:val="009E1FF1"/>
    <w:rsid w:val="009F22A7"/>
    <w:rsid w:val="009F27C0"/>
    <w:rsid w:val="009F38C2"/>
    <w:rsid w:val="00A004FE"/>
    <w:rsid w:val="00A06D23"/>
    <w:rsid w:val="00A11B9B"/>
    <w:rsid w:val="00A13975"/>
    <w:rsid w:val="00A21734"/>
    <w:rsid w:val="00A25429"/>
    <w:rsid w:val="00A268E1"/>
    <w:rsid w:val="00A34AF8"/>
    <w:rsid w:val="00A36F5B"/>
    <w:rsid w:val="00A4533B"/>
    <w:rsid w:val="00A46029"/>
    <w:rsid w:val="00A50546"/>
    <w:rsid w:val="00A50CAE"/>
    <w:rsid w:val="00A50F7D"/>
    <w:rsid w:val="00A62058"/>
    <w:rsid w:val="00A642E4"/>
    <w:rsid w:val="00A64D95"/>
    <w:rsid w:val="00A66319"/>
    <w:rsid w:val="00A664AF"/>
    <w:rsid w:val="00A708DD"/>
    <w:rsid w:val="00A70DFA"/>
    <w:rsid w:val="00A7330B"/>
    <w:rsid w:val="00A77ED6"/>
    <w:rsid w:val="00A83DCF"/>
    <w:rsid w:val="00A87679"/>
    <w:rsid w:val="00A93225"/>
    <w:rsid w:val="00A9415B"/>
    <w:rsid w:val="00A94B03"/>
    <w:rsid w:val="00AA46F5"/>
    <w:rsid w:val="00AB20C6"/>
    <w:rsid w:val="00AB5E3B"/>
    <w:rsid w:val="00AB698C"/>
    <w:rsid w:val="00AB6A5A"/>
    <w:rsid w:val="00AC0822"/>
    <w:rsid w:val="00AC1D64"/>
    <w:rsid w:val="00AC294E"/>
    <w:rsid w:val="00AC4E3D"/>
    <w:rsid w:val="00AC4EC6"/>
    <w:rsid w:val="00AC6849"/>
    <w:rsid w:val="00AC7B7D"/>
    <w:rsid w:val="00AD035B"/>
    <w:rsid w:val="00AD0860"/>
    <w:rsid w:val="00AD15E3"/>
    <w:rsid w:val="00AE188C"/>
    <w:rsid w:val="00AE51E2"/>
    <w:rsid w:val="00AF2EE7"/>
    <w:rsid w:val="00AF3037"/>
    <w:rsid w:val="00AF44DA"/>
    <w:rsid w:val="00AF466C"/>
    <w:rsid w:val="00AF7D3D"/>
    <w:rsid w:val="00B01C66"/>
    <w:rsid w:val="00B020C2"/>
    <w:rsid w:val="00B03516"/>
    <w:rsid w:val="00B037A4"/>
    <w:rsid w:val="00B04EFE"/>
    <w:rsid w:val="00B05930"/>
    <w:rsid w:val="00B11655"/>
    <w:rsid w:val="00B123A7"/>
    <w:rsid w:val="00B127FD"/>
    <w:rsid w:val="00B13E7B"/>
    <w:rsid w:val="00B152F3"/>
    <w:rsid w:val="00B21288"/>
    <w:rsid w:val="00B245C0"/>
    <w:rsid w:val="00B27C13"/>
    <w:rsid w:val="00B31C01"/>
    <w:rsid w:val="00B364F3"/>
    <w:rsid w:val="00B503A4"/>
    <w:rsid w:val="00B51180"/>
    <w:rsid w:val="00B57A74"/>
    <w:rsid w:val="00B60692"/>
    <w:rsid w:val="00B70576"/>
    <w:rsid w:val="00B7066D"/>
    <w:rsid w:val="00B71AB1"/>
    <w:rsid w:val="00B75B5D"/>
    <w:rsid w:val="00B77CBE"/>
    <w:rsid w:val="00B807C7"/>
    <w:rsid w:val="00B81D4F"/>
    <w:rsid w:val="00B87448"/>
    <w:rsid w:val="00B95B63"/>
    <w:rsid w:val="00B963BE"/>
    <w:rsid w:val="00BA112C"/>
    <w:rsid w:val="00BA1D4D"/>
    <w:rsid w:val="00BA23DE"/>
    <w:rsid w:val="00BA4FB8"/>
    <w:rsid w:val="00BA580A"/>
    <w:rsid w:val="00BA661A"/>
    <w:rsid w:val="00BA6889"/>
    <w:rsid w:val="00BB676B"/>
    <w:rsid w:val="00BC0985"/>
    <w:rsid w:val="00BC11F5"/>
    <w:rsid w:val="00BC24CD"/>
    <w:rsid w:val="00BC4CC3"/>
    <w:rsid w:val="00BC711A"/>
    <w:rsid w:val="00BC7EF3"/>
    <w:rsid w:val="00BD060C"/>
    <w:rsid w:val="00BD24E7"/>
    <w:rsid w:val="00BD6D06"/>
    <w:rsid w:val="00BE1EA0"/>
    <w:rsid w:val="00BE2518"/>
    <w:rsid w:val="00BE264C"/>
    <w:rsid w:val="00BE30F0"/>
    <w:rsid w:val="00BF0863"/>
    <w:rsid w:val="00BF15BC"/>
    <w:rsid w:val="00BF2DF8"/>
    <w:rsid w:val="00BF35B8"/>
    <w:rsid w:val="00C065AA"/>
    <w:rsid w:val="00C06D44"/>
    <w:rsid w:val="00C10FB1"/>
    <w:rsid w:val="00C12A2A"/>
    <w:rsid w:val="00C14A52"/>
    <w:rsid w:val="00C16156"/>
    <w:rsid w:val="00C200B0"/>
    <w:rsid w:val="00C21434"/>
    <w:rsid w:val="00C241BE"/>
    <w:rsid w:val="00C24319"/>
    <w:rsid w:val="00C26972"/>
    <w:rsid w:val="00C324B3"/>
    <w:rsid w:val="00C34303"/>
    <w:rsid w:val="00C34A22"/>
    <w:rsid w:val="00C34F11"/>
    <w:rsid w:val="00C46DAB"/>
    <w:rsid w:val="00C50574"/>
    <w:rsid w:val="00C53ECD"/>
    <w:rsid w:val="00C545A9"/>
    <w:rsid w:val="00C54CFB"/>
    <w:rsid w:val="00C61660"/>
    <w:rsid w:val="00C621C4"/>
    <w:rsid w:val="00C6326A"/>
    <w:rsid w:val="00C75DFB"/>
    <w:rsid w:val="00C8075D"/>
    <w:rsid w:val="00C815CE"/>
    <w:rsid w:val="00C8292A"/>
    <w:rsid w:val="00C83F65"/>
    <w:rsid w:val="00CA4612"/>
    <w:rsid w:val="00CA7C2F"/>
    <w:rsid w:val="00CB0C85"/>
    <w:rsid w:val="00CB0DBA"/>
    <w:rsid w:val="00CB21A6"/>
    <w:rsid w:val="00CB2749"/>
    <w:rsid w:val="00CB3F8B"/>
    <w:rsid w:val="00CB7F39"/>
    <w:rsid w:val="00CC4CBA"/>
    <w:rsid w:val="00CC6447"/>
    <w:rsid w:val="00CD036B"/>
    <w:rsid w:val="00CD5552"/>
    <w:rsid w:val="00CD5595"/>
    <w:rsid w:val="00CD7C9F"/>
    <w:rsid w:val="00CF4497"/>
    <w:rsid w:val="00CF4F76"/>
    <w:rsid w:val="00D009F5"/>
    <w:rsid w:val="00D00D82"/>
    <w:rsid w:val="00D01009"/>
    <w:rsid w:val="00D01855"/>
    <w:rsid w:val="00D01BA1"/>
    <w:rsid w:val="00D02698"/>
    <w:rsid w:val="00D03D9E"/>
    <w:rsid w:val="00D05899"/>
    <w:rsid w:val="00D07CB6"/>
    <w:rsid w:val="00D12DF2"/>
    <w:rsid w:val="00D1609A"/>
    <w:rsid w:val="00D17D7C"/>
    <w:rsid w:val="00D20981"/>
    <w:rsid w:val="00D22EB2"/>
    <w:rsid w:val="00D23BC1"/>
    <w:rsid w:val="00D24862"/>
    <w:rsid w:val="00D26558"/>
    <w:rsid w:val="00D27DF9"/>
    <w:rsid w:val="00D30050"/>
    <w:rsid w:val="00D30075"/>
    <w:rsid w:val="00D36FE7"/>
    <w:rsid w:val="00D4141E"/>
    <w:rsid w:val="00D42507"/>
    <w:rsid w:val="00D450C0"/>
    <w:rsid w:val="00D509E6"/>
    <w:rsid w:val="00D51C09"/>
    <w:rsid w:val="00D5342B"/>
    <w:rsid w:val="00D57B1C"/>
    <w:rsid w:val="00D6359A"/>
    <w:rsid w:val="00D675B7"/>
    <w:rsid w:val="00D75AE3"/>
    <w:rsid w:val="00D76EE4"/>
    <w:rsid w:val="00D821C0"/>
    <w:rsid w:val="00D905DB"/>
    <w:rsid w:val="00D93AE1"/>
    <w:rsid w:val="00D93F03"/>
    <w:rsid w:val="00D9633C"/>
    <w:rsid w:val="00D97394"/>
    <w:rsid w:val="00DA6E7F"/>
    <w:rsid w:val="00DA74C3"/>
    <w:rsid w:val="00DB1B08"/>
    <w:rsid w:val="00DB49A3"/>
    <w:rsid w:val="00DB5E6F"/>
    <w:rsid w:val="00DC0DFB"/>
    <w:rsid w:val="00DC1E47"/>
    <w:rsid w:val="00DC3836"/>
    <w:rsid w:val="00DC796C"/>
    <w:rsid w:val="00DD1947"/>
    <w:rsid w:val="00DD1E4B"/>
    <w:rsid w:val="00DD3471"/>
    <w:rsid w:val="00DD3609"/>
    <w:rsid w:val="00DD71DE"/>
    <w:rsid w:val="00DD7EDB"/>
    <w:rsid w:val="00DE3718"/>
    <w:rsid w:val="00DE4A74"/>
    <w:rsid w:val="00DE6C4A"/>
    <w:rsid w:val="00DF04C7"/>
    <w:rsid w:val="00DF0B2A"/>
    <w:rsid w:val="00DF2173"/>
    <w:rsid w:val="00DF2E33"/>
    <w:rsid w:val="00DF5B8B"/>
    <w:rsid w:val="00DF695B"/>
    <w:rsid w:val="00E02BD7"/>
    <w:rsid w:val="00E0356B"/>
    <w:rsid w:val="00E06B42"/>
    <w:rsid w:val="00E07148"/>
    <w:rsid w:val="00E10852"/>
    <w:rsid w:val="00E12082"/>
    <w:rsid w:val="00E14983"/>
    <w:rsid w:val="00E15F43"/>
    <w:rsid w:val="00E20E59"/>
    <w:rsid w:val="00E220D8"/>
    <w:rsid w:val="00E25E9F"/>
    <w:rsid w:val="00E26A43"/>
    <w:rsid w:val="00E26D3A"/>
    <w:rsid w:val="00E27268"/>
    <w:rsid w:val="00E34479"/>
    <w:rsid w:val="00E3717A"/>
    <w:rsid w:val="00E37B70"/>
    <w:rsid w:val="00E423BC"/>
    <w:rsid w:val="00E47099"/>
    <w:rsid w:val="00E53443"/>
    <w:rsid w:val="00E63C32"/>
    <w:rsid w:val="00E64CE4"/>
    <w:rsid w:val="00E67C0D"/>
    <w:rsid w:val="00E72D43"/>
    <w:rsid w:val="00E731BD"/>
    <w:rsid w:val="00E7587D"/>
    <w:rsid w:val="00E75893"/>
    <w:rsid w:val="00E81CF6"/>
    <w:rsid w:val="00E8400E"/>
    <w:rsid w:val="00E84DBB"/>
    <w:rsid w:val="00E86EF2"/>
    <w:rsid w:val="00E903E8"/>
    <w:rsid w:val="00E943C0"/>
    <w:rsid w:val="00E94C3A"/>
    <w:rsid w:val="00E94FBB"/>
    <w:rsid w:val="00E97083"/>
    <w:rsid w:val="00EA1A00"/>
    <w:rsid w:val="00EA22B9"/>
    <w:rsid w:val="00EA7E70"/>
    <w:rsid w:val="00EB1EF4"/>
    <w:rsid w:val="00EB496A"/>
    <w:rsid w:val="00EB589B"/>
    <w:rsid w:val="00EC003B"/>
    <w:rsid w:val="00EC3F8E"/>
    <w:rsid w:val="00EC572B"/>
    <w:rsid w:val="00EC5ED1"/>
    <w:rsid w:val="00EC6524"/>
    <w:rsid w:val="00ED0094"/>
    <w:rsid w:val="00ED1520"/>
    <w:rsid w:val="00ED5459"/>
    <w:rsid w:val="00ED7C7C"/>
    <w:rsid w:val="00EE305F"/>
    <w:rsid w:val="00EE5B56"/>
    <w:rsid w:val="00EF3735"/>
    <w:rsid w:val="00F004F6"/>
    <w:rsid w:val="00F05014"/>
    <w:rsid w:val="00F071AA"/>
    <w:rsid w:val="00F112C1"/>
    <w:rsid w:val="00F121F4"/>
    <w:rsid w:val="00F12CA9"/>
    <w:rsid w:val="00F12EC8"/>
    <w:rsid w:val="00F179E4"/>
    <w:rsid w:val="00F31EE8"/>
    <w:rsid w:val="00F32856"/>
    <w:rsid w:val="00F33809"/>
    <w:rsid w:val="00F33A25"/>
    <w:rsid w:val="00F345E3"/>
    <w:rsid w:val="00F3612C"/>
    <w:rsid w:val="00F40A4B"/>
    <w:rsid w:val="00F42F23"/>
    <w:rsid w:val="00F476A2"/>
    <w:rsid w:val="00F50814"/>
    <w:rsid w:val="00F50F46"/>
    <w:rsid w:val="00F60F6A"/>
    <w:rsid w:val="00F63E8C"/>
    <w:rsid w:val="00F64D18"/>
    <w:rsid w:val="00F66130"/>
    <w:rsid w:val="00F7273A"/>
    <w:rsid w:val="00F81844"/>
    <w:rsid w:val="00F81A99"/>
    <w:rsid w:val="00F83341"/>
    <w:rsid w:val="00F92259"/>
    <w:rsid w:val="00F94343"/>
    <w:rsid w:val="00F96446"/>
    <w:rsid w:val="00FA175A"/>
    <w:rsid w:val="00FA1A6F"/>
    <w:rsid w:val="00FA1E18"/>
    <w:rsid w:val="00FA29D5"/>
    <w:rsid w:val="00FA2CF7"/>
    <w:rsid w:val="00FA3D44"/>
    <w:rsid w:val="00FA5827"/>
    <w:rsid w:val="00FA7C38"/>
    <w:rsid w:val="00FB07BC"/>
    <w:rsid w:val="00FB081C"/>
    <w:rsid w:val="00FB22EC"/>
    <w:rsid w:val="00FB5FA2"/>
    <w:rsid w:val="00FB657B"/>
    <w:rsid w:val="00FC39F2"/>
    <w:rsid w:val="00FC567C"/>
    <w:rsid w:val="00FC6E64"/>
    <w:rsid w:val="00FD1D6E"/>
    <w:rsid w:val="00FE0E6C"/>
    <w:rsid w:val="00FE279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205E5D9"/>
  <w15:docId w15:val="{643DE2AE-6F8C-465E-8667-6E3E707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33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06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B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2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1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4E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18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8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8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BA1"/>
    <w:rPr>
      <w:color w:val="000000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32D"/>
    <w:rPr>
      <w:rFonts w:asciiTheme="majorHAnsi" w:eastAsiaTheme="majorEastAsia" w:hAnsiTheme="majorHAnsi" w:cstheme="majorBidi"/>
      <w:b/>
      <w:bCs/>
      <w:i/>
      <w:iCs/>
      <w:color w:val="005EB8" w:themeColor="accent1"/>
      <w:sz w:val="24"/>
    </w:rPr>
  </w:style>
  <w:style w:type="table" w:styleId="LightGrid">
    <w:name w:val="Light Grid"/>
    <w:basedOn w:val="TableNormal"/>
    <w:uiPriority w:val="62"/>
    <w:rsid w:val="00782F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D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lue">
    <w:name w:val="blue"/>
    <w:basedOn w:val="DefaultParagraphFont"/>
    <w:rsid w:val="00D24862"/>
  </w:style>
  <w:style w:type="character" w:styleId="FollowedHyperlink">
    <w:name w:val="FollowedHyperlink"/>
    <w:basedOn w:val="DefaultParagraphFont"/>
    <w:uiPriority w:val="99"/>
    <w:semiHidden/>
    <w:unhideWhenUsed/>
    <w:rsid w:val="00DF695B"/>
    <w:rPr>
      <w:color w:val="005EB8" w:themeColor="followedHyperlink"/>
      <w:u w:val="single"/>
    </w:rPr>
  </w:style>
  <w:style w:type="character" w:customStyle="1" w:styleId="arttitle">
    <w:name w:val="art_title"/>
    <w:basedOn w:val="DefaultParagraphFont"/>
    <w:rsid w:val="00DC796C"/>
  </w:style>
  <w:style w:type="character" w:customStyle="1" w:styleId="serialtitle">
    <w:name w:val="serial_title"/>
    <w:basedOn w:val="DefaultParagraphFont"/>
    <w:rsid w:val="00DC796C"/>
  </w:style>
  <w:style w:type="character" w:customStyle="1" w:styleId="volumeissue">
    <w:name w:val="volume_issue"/>
    <w:basedOn w:val="DefaultParagraphFont"/>
    <w:rsid w:val="00DC796C"/>
  </w:style>
  <w:style w:type="character" w:customStyle="1" w:styleId="doilink">
    <w:name w:val="doi_link"/>
    <w:basedOn w:val="DefaultParagraphFont"/>
    <w:rsid w:val="00DC796C"/>
  </w:style>
  <w:style w:type="character" w:styleId="CommentReference">
    <w:name w:val="annotation reference"/>
    <w:basedOn w:val="DefaultParagraphFont"/>
    <w:semiHidden/>
    <w:unhideWhenUsed/>
    <w:rsid w:val="004E4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24"/>
    <w:rPr>
      <w:b/>
      <w:bCs/>
      <w:sz w:val="20"/>
      <w:szCs w:val="20"/>
    </w:rPr>
  </w:style>
  <w:style w:type="paragraph" w:customStyle="1" w:styleId="Default">
    <w:name w:val="Default"/>
    <w:rsid w:val="002F624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EE"/>
    <w:rPr>
      <w:b/>
      <w:bCs/>
    </w:rPr>
  </w:style>
  <w:style w:type="paragraph" w:customStyle="1" w:styleId="Frontpageheading">
    <w:name w:val="Frontpage heading"/>
    <w:basedOn w:val="Normal"/>
    <w:link w:val="FrontpageheadingChar"/>
    <w:qFormat/>
    <w:rsid w:val="00730A20"/>
    <w:pPr>
      <w:tabs>
        <w:tab w:val="left" w:pos="2552"/>
      </w:tabs>
      <w:spacing w:after="200"/>
    </w:pPr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character" w:customStyle="1" w:styleId="FrontpageheadingChar">
    <w:name w:val="Frontpage heading Char"/>
    <w:basedOn w:val="DefaultParagraphFont"/>
    <w:link w:val="Frontpageheading"/>
    <w:rsid w:val="00730A20"/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D07CB6"/>
    <w:pPr>
      <w:spacing w:after="200"/>
    </w:pPr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D07CB6"/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Subtitle1">
    <w:name w:val="Subtitle1"/>
    <w:basedOn w:val="DefaultParagraphFont"/>
    <w:rsid w:val="003B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7E89-5531-4F82-A2D1-0AE1D93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Lauren (BNSSG CCG)</dc:creator>
  <cp:lastModifiedBy>PAGE, Lauren (NHS BRISTOL, NORTH SOMERSET AND SOUTH GLOUCESTERSHIRE ICB - 15C)</cp:lastModifiedBy>
  <cp:revision>7</cp:revision>
  <cp:lastPrinted>2021-06-16T10:51:00Z</cp:lastPrinted>
  <dcterms:created xsi:type="dcterms:W3CDTF">2024-01-31T18:53:00Z</dcterms:created>
  <dcterms:modified xsi:type="dcterms:W3CDTF">2024-01-31T19:30:00Z</dcterms:modified>
</cp:coreProperties>
</file>